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9574F3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1E7F93">
        <w:rPr>
          <w:rFonts w:ascii="Arial" w:hAnsi="Arial" w:cs="Arial"/>
          <w:b/>
          <w:sz w:val="18"/>
          <w:szCs w:val="18"/>
        </w:rPr>
        <w:t>Urząd Miasta Szczecin</w:t>
      </w:r>
      <w:r w:rsidRPr="001E7F93">
        <w:rPr>
          <w:b/>
          <w:sz w:val="18"/>
          <w:szCs w:val="18"/>
        </w:rPr>
        <w:br/>
      </w:r>
      <w:r>
        <w:rPr>
          <w:rFonts w:ascii="Arial" w:hAnsi="Arial" w:cs="Arial"/>
          <w:b/>
          <w:sz w:val="14"/>
          <w:szCs w:val="14"/>
        </w:rPr>
        <w:t xml:space="preserve">   </w:t>
      </w:r>
      <w:r w:rsidRPr="001E7F93">
        <w:rPr>
          <w:rFonts w:ascii="Arial" w:hAnsi="Arial" w:cs="Arial"/>
          <w:b/>
          <w:sz w:val="14"/>
          <w:szCs w:val="14"/>
        </w:rPr>
        <w:t xml:space="preserve">Biuro </w:t>
      </w:r>
      <w:r>
        <w:rPr>
          <w:rFonts w:ascii="Arial" w:hAnsi="Arial" w:cs="Arial"/>
          <w:b/>
          <w:sz w:val="14"/>
          <w:szCs w:val="14"/>
        </w:rPr>
        <w:t>ds. Organizacji Pozarządowych</w:t>
      </w:r>
      <w:r w:rsidRPr="0059026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</w:t>
      </w:r>
      <w:r w:rsidRPr="00590264">
        <w:rPr>
          <w:rFonts w:ascii="Arial" w:hAnsi="Arial" w:cs="Arial"/>
          <w:sz w:val="14"/>
          <w:szCs w:val="14"/>
        </w:rPr>
        <w:t>pl. Armii Krajowej 1, 70-4</w:t>
      </w:r>
      <w:r>
        <w:rPr>
          <w:rFonts w:ascii="Arial" w:hAnsi="Arial" w:cs="Arial"/>
          <w:sz w:val="14"/>
          <w:szCs w:val="14"/>
        </w:rPr>
        <w:t>56 Szczecin</w:t>
      </w:r>
      <w:r>
        <w:rPr>
          <w:rFonts w:ascii="Arial" w:hAnsi="Arial" w:cs="Arial"/>
          <w:sz w:val="14"/>
          <w:szCs w:val="14"/>
        </w:rPr>
        <w:br/>
        <w:t xml:space="preserve">   tel. +4891 42 45 105, fax +4891 42 45 099</w:t>
      </w:r>
      <w:r w:rsidRPr="0059026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</w:t>
      </w:r>
      <w:r w:rsidRPr="00303BCD">
        <w:rPr>
          <w:rFonts w:ascii="Arial" w:hAnsi="Arial" w:cs="Arial"/>
          <w:sz w:val="14"/>
          <w:szCs w:val="14"/>
        </w:rPr>
        <w:t>bop</w:t>
      </w:r>
      <w:r>
        <w:rPr>
          <w:rFonts w:ascii="Arial" w:hAnsi="Arial" w:cs="Arial"/>
          <w:sz w:val="14"/>
          <w:szCs w:val="14"/>
        </w:rPr>
        <w:t>@um.szczecin.pl</w:t>
      </w:r>
      <w:r w:rsidRPr="00590264">
        <w:rPr>
          <w:rFonts w:ascii="Arial" w:hAnsi="Arial" w:cs="Arial"/>
          <w:sz w:val="14"/>
          <w:szCs w:val="14"/>
        </w:rPr>
        <w:t xml:space="preserve">  -  </w:t>
      </w:r>
      <w:hyperlink r:id="rId8" w:history="1">
        <w:r w:rsidRPr="00B52385">
          <w:rPr>
            <w:rStyle w:val="Hipercze"/>
            <w:rFonts w:ascii="Arial" w:hAnsi="Arial" w:cs="Arial"/>
            <w:sz w:val="14"/>
            <w:szCs w:val="14"/>
          </w:rPr>
          <w:t>www.szczecin.pl/bop</w:t>
        </w:r>
      </w:hyperlink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7C655D" w:rsidRPr="007C655D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3728B">
        <w:rPr>
          <w:rFonts w:ascii="Arial" w:hAnsi="Arial" w:cs="Arial"/>
        </w:rPr>
        <w:t>Szczecin, 29</w:t>
      </w:r>
      <w:r w:rsidRPr="007C655D">
        <w:rPr>
          <w:rFonts w:ascii="Arial" w:hAnsi="Arial" w:cs="Arial"/>
        </w:rPr>
        <w:t xml:space="preserve"> kwietnia 2014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E30975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2F8">
        <w:rPr>
          <w:rFonts w:ascii="Arial" w:hAnsi="Arial" w:cs="Arial"/>
          <w:b/>
          <w:sz w:val="24"/>
          <w:szCs w:val="24"/>
          <w:u w:val="single"/>
        </w:rPr>
        <w:t>Protokół z I</w:t>
      </w:r>
      <w:r w:rsidR="0073728B">
        <w:rPr>
          <w:rFonts w:ascii="Arial" w:hAnsi="Arial" w:cs="Arial"/>
          <w:b/>
          <w:sz w:val="24"/>
          <w:szCs w:val="24"/>
          <w:u w:val="single"/>
        </w:rPr>
        <w:t>I</w:t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i wdrożenia Szczecińskiego Budżetu Obywatelskiego na 2015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530340" w:rsidRPr="00530340" w:rsidRDefault="002E3A03" w:rsidP="0035663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Uwagi do protokołu</w:t>
      </w:r>
      <w:r w:rsidR="00530340" w:rsidRPr="00530340">
        <w:rPr>
          <w:rFonts w:ascii="Arial" w:hAnsi="Arial" w:cs="Arial"/>
          <w:b/>
          <w:u w:val="single"/>
        </w:rPr>
        <w:t>:</w:t>
      </w:r>
    </w:p>
    <w:p w:rsidR="00530340" w:rsidRPr="00530340" w:rsidRDefault="0036371D" w:rsidP="00530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Uwagę do protokołu z I </w:t>
      </w:r>
      <w:r w:rsidR="00530340" w:rsidRPr="00530340">
        <w:rPr>
          <w:rFonts w:ascii="Arial" w:hAnsi="Arial" w:cs="Arial"/>
        </w:rPr>
        <w:t xml:space="preserve">spotkania Zespołu ds. opracowania zasad funkcjonowania </w:t>
      </w:r>
      <w:r w:rsidR="00530340" w:rsidRPr="00530340">
        <w:rPr>
          <w:rFonts w:ascii="Arial" w:hAnsi="Arial" w:cs="Arial"/>
        </w:rPr>
        <w:br/>
        <w:t>i wdrożenia Szczecińskiego Budżetu Obywatelskiego na 2015 rok</w:t>
      </w:r>
      <w:r w:rsidR="00530340">
        <w:rPr>
          <w:rFonts w:ascii="Arial" w:hAnsi="Arial" w:cs="Arial"/>
        </w:rPr>
        <w:t xml:space="preserve"> wniosła Pani Dorota Markiewicz, </w:t>
      </w:r>
      <w:r w:rsidR="003E0468">
        <w:rPr>
          <w:rFonts w:ascii="Arial" w:hAnsi="Arial" w:cs="Arial"/>
        </w:rPr>
        <w:t>która zauważyła, że na po</w:t>
      </w:r>
      <w:r w:rsidR="00237E8A">
        <w:rPr>
          <w:rFonts w:ascii="Arial" w:hAnsi="Arial" w:cs="Arial"/>
        </w:rPr>
        <w:t>przednim posiedzeniu Zespołu nie omówiono szczegółowo kwesti</w:t>
      </w:r>
      <w:r w:rsidR="00355CF3">
        <w:rPr>
          <w:rFonts w:ascii="Arial" w:hAnsi="Arial" w:cs="Arial"/>
        </w:rPr>
        <w:t>i</w:t>
      </w:r>
      <w:r w:rsidR="003E0468">
        <w:rPr>
          <w:rFonts w:ascii="Arial" w:hAnsi="Arial" w:cs="Arial"/>
        </w:rPr>
        <w:t xml:space="preserve"> </w:t>
      </w:r>
      <w:r w:rsidR="00237E8A">
        <w:rPr>
          <w:rFonts w:ascii="Arial" w:hAnsi="Arial" w:cs="Arial"/>
        </w:rPr>
        <w:t>dotyczących kwot projektów (ich górnej oraz dolnej</w:t>
      </w:r>
      <w:r w:rsidR="003E0468">
        <w:rPr>
          <w:rFonts w:ascii="Arial" w:hAnsi="Arial" w:cs="Arial"/>
        </w:rPr>
        <w:t xml:space="preserve"> gran</w:t>
      </w:r>
      <w:r w:rsidR="00237E8A">
        <w:rPr>
          <w:rFonts w:ascii="Arial" w:hAnsi="Arial" w:cs="Arial"/>
        </w:rPr>
        <w:t xml:space="preserve">ica) oraz </w:t>
      </w:r>
      <w:r w:rsidR="003E0468">
        <w:rPr>
          <w:rFonts w:ascii="Arial" w:hAnsi="Arial" w:cs="Arial"/>
        </w:rPr>
        <w:t>ilości odda</w:t>
      </w:r>
      <w:r w:rsidR="00355CF3">
        <w:rPr>
          <w:rFonts w:ascii="Arial" w:hAnsi="Arial" w:cs="Arial"/>
        </w:rPr>
        <w:t>wa</w:t>
      </w:r>
      <w:r w:rsidR="003E0468">
        <w:rPr>
          <w:rFonts w:ascii="Arial" w:hAnsi="Arial" w:cs="Arial"/>
        </w:rPr>
        <w:t>nia</w:t>
      </w:r>
      <w:r w:rsidR="00237E8A">
        <w:rPr>
          <w:rFonts w:ascii="Arial" w:hAnsi="Arial" w:cs="Arial"/>
        </w:rPr>
        <w:t xml:space="preserve"> głosów</w:t>
      </w:r>
      <w:r w:rsidR="0066626B">
        <w:rPr>
          <w:rFonts w:ascii="Arial" w:hAnsi="Arial" w:cs="Arial"/>
        </w:rPr>
        <w:t xml:space="preserve"> na poszczególne kategorie</w:t>
      </w:r>
      <w:r w:rsidR="00355CF3">
        <w:rPr>
          <w:rFonts w:ascii="Arial" w:hAnsi="Arial" w:cs="Arial"/>
        </w:rPr>
        <w:t xml:space="preserve">, zatem członkowie Zespołu nie mieli możliwości zastanowienia się nad nimi oraz skonsultowania ze środowiskiem lokalnym. </w:t>
      </w:r>
      <w:r w:rsidR="008E2DAF">
        <w:rPr>
          <w:rFonts w:ascii="Arial" w:hAnsi="Arial" w:cs="Arial"/>
        </w:rPr>
        <w:br/>
      </w:r>
      <w:r w:rsidR="00355CF3">
        <w:rPr>
          <w:rFonts w:ascii="Arial" w:hAnsi="Arial" w:cs="Arial"/>
        </w:rPr>
        <w:t>Pani Markiewicz wniosła, aby głosowanie n</w:t>
      </w:r>
      <w:r w:rsidR="00307383">
        <w:rPr>
          <w:rFonts w:ascii="Arial" w:hAnsi="Arial" w:cs="Arial"/>
        </w:rPr>
        <w:t>ad pr</w:t>
      </w:r>
      <w:r w:rsidR="00D65A44">
        <w:rPr>
          <w:rFonts w:ascii="Arial" w:hAnsi="Arial" w:cs="Arial"/>
        </w:rPr>
        <w:t xml:space="preserve">zedmiotowymi tezami odbyło </w:t>
      </w:r>
      <w:r w:rsidR="00D65A44">
        <w:rPr>
          <w:rFonts w:ascii="Arial" w:hAnsi="Arial" w:cs="Arial"/>
        </w:rPr>
        <w:br/>
      </w:r>
      <w:r w:rsidR="00355CF3">
        <w:rPr>
          <w:rFonts w:ascii="Arial" w:hAnsi="Arial" w:cs="Arial"/>
        </w:rPr>
        <w:t xml:space="preserve">się na kolejnym posiedzeniu Zespołu. </w:t>
      </w:r>
    </w:p>
    <w:p w:rsidR="00530340" w:rsidRDefault="00530340" w:rsidP="00BE33B1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B063F5" w:rsidRPr="00B063F5" w:rsidRDefault="00B063F5" w:rsidP="00BE33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głosowań:</w:t>
      </w:r>
    </w:p>
    <w:p w:rsidR="00DB10A4" w:rsidRPr="0091729D" w:rsidRDefault="004B3D01" w:rsidP="00DB10A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Zdecydowano, że w Szczecińskim Budżecie Obywatelskim 2015 znajdą się projekty ogólno miejskie.</w:t>
      </w:r>
    </w:p>
    <w:p w:rsidR="004B3D01" w:rsidRPr="004B3D01" w:rsidRDefault="00DB10A4" w:rsidP="004B3D0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„C</w:t>
      </w:r>
      <w:r w:rsidR="00812E4A">
        <w:rPr>
          <w:rFonts w:ascii="Arial" w:hAnsi="Arial" w:cs="Arial"/>
        </w:rPr>
        <w:t xml:space="preserve">zy w budżecie obywatelskim mają się znaleźć projekty ogólno miejskie?”, </w:t>
      </w:r>
      <w:r w:rsidR="004B3D01">
        <w:rPr>
          <w:rFonts w:ascii="Arial" w:hAnsi="Arial" w:cs="Arial"/>
        </w:rPr>
        <w:t>9 głosujących, 8 osób „za”, 1 „wstrzymująca się” od głosu, 0 „przeciw”.</w:t>
      </w:r>
    </w:p>
    <w:p w:rsidR="004B3D01" w:rsidRPr="0091729D" w:rsidRDefault="00527DE8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Zdecydowano, że w Szczecińskim Budżecie Obywatelskim 2015 znajdą się projekty dzielnicowe</w:t>
      </w:r>
      <w:r w:rsidR="009F3355" w:rsidRPr="0091729D">
        <w:rPr>
          <w:rFonts w:ascii="Arial" w:hAnsi="Arial" w:cs="Arial"/>
          <w:u w:val="single"/>
        </w:rPr>
        <w:t>, przy</w:t>
      </w:r>
      <w:r w:rsidR="00312416" w:rsidRPr="0091729D">
        <w:rPr>
          <w:rFonts w:ascii="Arial" w:hAnsi="Arial" w:cs="Arial"/>
          <w:u w:val="single"/>
        </w:rPr>
        <w:t xml:space="preserve"> zach</w:t>
      </w:r>
      <w:r w:rsidR="009F3355" w:rsidRPr="0091729D">
        <w:rPr>
          <w:rFonts w:ascii="Arial" w:hAnsi="Arial" w:cs="Arial"/>
          <w:u w:val="single"/>
        </w:rPr>
        <w:t>owaniu</w:t>
      </w:r>
      <w:r w:rsidR="00BE3C8B" w:rsidRPr="0091729D">
        <w:rPr>
          <w:rFonts w:ascii="Arial" w:hAnsi="Arial" w:cs="Arial"/>
          <w:u w:val="single"/>
        </w:rPr>
        <w:t xml:space="preserve"> podziału na 4 dzielnice.</w:t>
      </w:r>
    </w:p>
    <w:p w:rsidR="00E02B8A" w:rsidRPr="00E02B8A" w:rsidRDefault="00E02B8A" w:rsidP="00812E4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</w:t>
      </w:r>
      <w:r w:rsidR="00812E4A">
        <w:rPr>
          <w:rFonts w:ascii="Arial" w:hAnsi="Arial" w:cs="Arial"/>
        </w:rPr>
        <w:t xml:space="preserve"> tezy</w:t>
      </w:r>
      <w:r>
        <w:rPr>
          <w:rFonts w:ascii="Arial" w:hAnsi="Arial" w:cs="Arial"/>
        </w:rPr>
        <w:t>:</w:t>
      </w:r>
      <w:r w:rsidR="00812E4A">
        <w:rPr>
          <w:rFonts w:ascii="Arial" w:hAnsi="Arial" w:cs="Arial"/>
        </w:rPr>
        <w:t xml:space="preserve"> „Czy w budżecie obywatelskim mają się znaleźć projekty dzielnicowe, przy podziale na 4 dzielnice?”, </w:t>
      </w:r>
      <w:r>
        <w:rPr>
          <w:rFonts w:ascii="Arial" w:hAnsi="Arial" w:cs="Arial"/>
        </w:rPr>
        <w:t>9 głosujących, 9</w:t>
      </w:r>
      <w:r w:rsidRPr="00E02B8A">
        <w:rPr>
          <w:rFonts w:ascii="Arial" w:hAnsi="Arial" w:cs="Arial"/>
        </w:rPr>
        <w:t xml:space="preserve"> osób „za</w:t>
      </w:r>
      <w:r>
        <w:rPr>
          <w:rFonts w:ascii="Arial" w:hAnsi="Arial" w:cs="Arial"/>
        </w:rPr>
        <w:t xml:space="preserve">”, </w:t>
      </w:r>
      <w:r w:rsidR="00812E4A">
        <w:rPr>
          <w:rFonts w:ascii="Arial" w:hAnsi="Arial" w:cs="Arial"/>
        </w:rPr>
        <w:br/>
      </w:r>
      <w:r>
        <w:rPr>
          <w:rFonts w:ascii="Arial" w:hAnsi="Arial" w:cs="Arial"/>
        </w:rPr>
        <w:t>0</w:t>
      </w:r>
      <w:r w:rsidRPr="00E02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„wstrzymujących</w:t>
      </w:r>
      <w:r w:rsidRPr="00E02B8A">
        <w:rPr>
          <w:rFonts w:ascii="Arial" w:hAnsi="Arial" w:cs="Arial"/>
        </w:rPr>
        <w:t xml:space="preserve"> się” od głosu, 0 „przeciw”</w:t>
      </w:r>
      <w:r>
        <w:rPr>
          <w:rFonts w:ascii="Arial" w:hAnsi="Arial" w:cs="Arial"/>
        </w:rPr>
        <w:t>.</w:t>
      </w:r>
    </w:p>
    <w:p w:rsidR="00DB10A4" w:rsidRPr="0091729D" w:rsidRDefault="00427AAC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 xml:space="preserve">Zespół zdecydował, że w </w:t>
      </w:r>
      <w:r w:rsidR="00D709A5" w:rsidRPr="0091729D">
        <w:rPr>
          <w:rFonts w:ascii="Arial" w:hAnsi="Arial" w:cs="Arial"/>
          <w:u w:val="single"/>
        </w:rPr>
        <w:t>ramach Szczecińskiego Budżetu Obywatelskiego</w:t>
      </w:r>
      <w:r w:rsidRPr="0091729D">
        <w:rPr>
          <w:rFonts w:ascii="Arial" w:hAnsi="Arial" w:cs="Arial"/>
          <w:u w:val="single"/>
        </w:rPr>
        <w:t xml:space="preserve"> 2015</w:t>
      </w:r>
      <w:r w:rsidR="00D709A5" w:rsidRPr="0091729D">
        <w:rPr>
          <w:rFonts w:ascii="Arial" w:hAnsi="Arial" w:cs="Arial"/>
          <w:u w:val="single"/>
        </w:rPr>
        <w:t xml:space="preserve"> można składać </w:t>
      </w:r>
      <w:r w:rsidR="005E4CEB" w:rsidRPr="0091729D">
        <w:rPr>
          <w:rFonts w:ascii="Arial" w:hAnsi="Arial" w:cs="Arial"/>
          <w:u w:val="single"/>
        </w:rPr>
        <w:t xml:space="preserve">wnioski </w:t>
      </w:r>
      <w:r w:rsidR="00D709A5" w:rsidRPr="0091729D">
        <w:rPr>
          <w:rFonts w:ascii="Arial" w:hAnsi="Arial" w:cs="Arial"/>
          <w:u w:val="single"/>
        </w:rPr>
        <w:t xml:space="preserve">wyłącznie </w:t>
      </w:r>
      <w:r w:rsidR="005E4CEB" w:rsidRPr="0091729D">
        <w:rPr>
          <w:rFonts w:ascii="Arial" w:hAnsi="Arial" w:cs="Arial"/>
          <w:u w:val="single"/>
        </w:rPr>
        <w:t>na zadania</w:t>
      </w:r>
      <w:r w:rsidR="00D709A5" w:rsidRPr="0091729D">
        <w:rPr>
          <w:rFonts w:ascii="Arial" w:hAnsi="Arial" w:cs="Arial"/>
          <w:u w:val="single"/>
        </w:rPr>
        <w:t xml:space="preserve"> inwes</w:t>
      </w:r>
      <w:r w:rsidR="005E4CEB" w:rsidRPr="0091729D">
        <w:rPr>
          <w:rFonts w:ascii="Arial" w:hAnsi="Arial" w:cs="Arial"/>
          <w:u w:val="single"/>
        </w:rPr>
        <w:t>tycyjne.</w:t>
      </w:r>
    </w:p>
    <w:p w:rsidR="005E4CEB" w:rsidRPr="005E4CEB" w:rsidRDefault="005E4CEB" w:rsidP="005E4CE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tezy: „Czy w budżecie obywatelskim mają się znaleźć projekty nieinwestycyjne ?”, </w:t>
      </w:r>
      <w:r w:rsidR="00ED209C">
        <w:rPr>
          <w:rFonts w:ascii="Arial" w:hAnsi="Arial" w:cs="Arial"/>
        </w:rPr>
        <w:t>9 głosujących, 2 osoby</w:t>
      </w:r>
      <w:r w:rsidRPr="00E02B8A">
        <w:rPr>
          <w:rFonts w:ascii="Arial" w:hAnsi="Arial" w:cs="Arial"/>
        </w:rPr>
        <w:t xml:space="preserve"> „za</w:t>
      </w:r>
      <w:r>
        <w:rPr>
          <w:rFonts w:ascii="Arial" w:hAnsi="Arial" w:cs="Arial"/>
        </w:rPr>
        <w:t xml:space="preserve">”, </w:t>
      </w:r>
      <w:r w:rsidR="00ED209C">
        <w:rPr>
          <w:rFonts w:ascii="Arial" w:hAnsi="Arial" w:cs="Arial"/>
        </w:rPr>
        <w:t>1</w:t>
      </w:r>
      <w:r w:rsidRPr="00E02B8A">
        <w:rPr>
          <w:rFonts w:ascii="Arial" w:hAnsi="Arial" w:cs="Arial"/>
        </w:rPr>
        <w:t xml:space="preserve"> </w:t>
      </w:r>
      <w:r w:rsidR="00ED209C">
        <w:rPr>
          <w:rFonts w:ascii="Arial" w:hAnsi="Arial" w:cs="Arial"/>
        </w:rPr>
        <w:t>„wstrzymująca</w:t>
      </w:r>
      <w:r w:rsidRPr="00E02B8A">
        <w:rPr>
          <w:rFonts w:ascii="Arial" w:hAnsi="Arial" w:cs="Arial"/>
        </w:rPr>
        <w:t xml:space="preserve"> się</w:t>
      </w:r>
      <w:r w:rsidR="00C20D6C">
        <w:rPr>
          <w:rFonts w:ascii="Arial" w:hAnsi="Arial" w:cs="Arial"/>
        </w:rPr>
        <w:t xml:space="preserve">” od głosu, </w:t>
      </w:r>
      <w:r w:rsidR="00C20D6C">
        <w:rPr>
          <w:rFonts w:ascii="Arial" w:hAnsi="Arial" w:cs="Arial"/>
        </w:rPr>
        <w:br/>
        <w:t>6</w:t>
      </w:r>
      <w:r w:rsidRPr="00E02B8A">
        <w:rPr>
          <w:rFonts w:ascii="Arial" w:hAnsi="Arial" w:cs="Arial"/>
        </w:rPr>
        <w:t xml:space="preserve"> „przeciw</w:t>
      </w:r>
      <w:r w:rsidR="00C20D6C">
        <w:rPr>
          <w:rFonts w:ascii="Arial" w:hAnsi="Arial" w:cs="Arial"/>
        </w:rPr>
        <w:t>”</w:t>
      </w:r>
      <w:r w:rsidR="00FA7AB3">
        <w:rPr>
          <w:rFonts w:ascii="Arial" w:hAnsi="Arial" w:cs="Arial"/>
        </w:rPr>
        <w:t>.</w:t>
      </w:r>
    </w:p>
    <w:p w:rsidR="004B3D01" w:rsidRPr="0091729D" w:rsidRDefault="004B3D01" w:rsidP="00DB10A4">
      <w:pPr>
        <w:pStyle w:val="Akapitzlist"/>
        <w:ind w:left="1080"/>
        <w:jc w:val="both"/>
        <w:rPr>
          <w:rFonts w:ascii="Arial" w:hAnsi="Arial" w:cs="Arial"/>
          <w:u w:val="single"/>
        </w:rPr>
      </w:pPr>
    </w:p>
    <w:p w:rsidR="008F6A4D" w:rsidRPr="0091729D" w:rsidRDefault="006B60C4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lastRenderedPageBreak/>
        <w:t xml:space="preserve">Zdecydowano o proporcjonalnym podziale kwoty Szczecińskiego Budżetu Obywatelskiego 2015 na 5 kategorii (1 projekt </w:t>
      </w:r>
      <w:r w:rsidR="003D575E" w:rsidRPr="0091729D">
        <w:rPr>
          <w:rFonts w:ascii="Arial" w:hAnsi="Arial" w:cs="Arial"/>
          <w:u w:val="single"/>
        </w:rPr>
        <w:t>ogólno miejski</w:t>
      </w:r>
      <w:r w:rsidRPr="0091729D">
        <w:rPr>
          <w:rFonts w:ascii="Arial" w:hAnsi="Arial" w:cs="Arial"/>
          <w:u w:val="single"/>
        </w:rPr>
        <w:t xml:space="preserve"> oraz 4 d</w:t>
      </w:r>
      <w:r w:rsidR="003D575E" w:rsidRPr="0091729D">
        <w:rPr>
          <w:rFonts w:ascii="Arial" w:hAnsi="Arial" w:cs="Arial"/>
          <w:u w:val="single"/>
        </w:rPr>
        <w:t>zielni</w:t>
      </w:r>
      <w:r w:rsidRPr="0091729D">
        <w:rPr>
          <w:rFonts w:ascii="Arial" w:hAnsi="Arial" w:cs="Arial"/>
          <w:u w:val="single"/>
        </w:rPr>
        <w:t>cowe</w:t>
      </w:r>
      <w:r w:rsidR="008F6A4D" w:rsidRPr="0091729D">
        <w:rPr>
          <w:rFonts w:ascii="Arial" w:hAnsi="Arial" w:cs="Arial"/>
          <w:u w:val="single"/>
        </w:rPr>
        <w:t>) w wysokości 20 % na każda kategorię, co daje łącznie 5 budżetów po 20 %.</w:t>
      </w:r>
    </w:p>
    <w:p w:rsidR="000D3E34" w:rsidRDefault="000D3E34" w:rsidP="00411EE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Zgłoszono 2 propozycje </w:t>
      </w:r>
      <w:r w:rsidR="00BB6820">
        <w:rPr>
          <w:rFonts w:ascii="Arial" w:hAnsi="Arial" w:cs="Arial"/>
        </w:rPr>
        <w:t xml:space="preserve">procentowego </w:t>
      </w:r>
      <w:r>
        <w:rPr>
          <w:rFonts w:ascii="Arial" w:hAnsi="Arial" w:cs="Arial"/>
        </w:rPr>
        <w:t xml:space="preserve">podziału </w:t>
      </w:r>
      <w:r w:rsidR="00BB6820">
        <w:rPr>
          <w:rFonts w:ascii="Arial" w:hAnsi="Arial" w:cs="Arial"/>
        </w:rPr>
        <w:t xml:space="preserve">kwoty </w:t>
      </w:r>
      <w:r>
        <w:rPr>
          <w:rFonts w:ascii="Arial" w:hAnsi="Arial" w:cs="Arial"/>
        </w:rPr>
        <w:t>bud</w:t>
      </w:r>
      <w:r w:rsidR="00BB6820">
        <w:rPr>
          <w:rFonts w:ascii="Arial" w:hAnsi="Arial" w:cs="Arial"/>
        </w:rPr>
        <w:t xml:space="preserve">żetu. </w:t>
      </w:r>
      <w:r w:rsidR="004F5A2F">
        <w:rPr>
          <w:rFonts w:ascii="Arial" w:hAnsi="Arial" w:cs="Arial"/>
        </w:rPr>
        <w:t xml:space="preserve">Zdecydowano </w:t>
      </w:r>
      <w:r w:rsidR="006726D6">
        <w:rPr>
          <w:rFonts w:ascii="Arial" w:hAnsi="Arial" w:cs="Arial"/>
        </w:rPr>
        <w:br/>
      </w:r>
      <w:r w:rsidR="004F5A2F">
        <w:rPr>
          <w:rFonts w:ascii="Arial" w:hAnsi="Arial" w:cs="Arial"/>
        </w:rPr>
        <w:t>o jednoczesnym</w:t>
      </w:r>
      <w:r w:rsidR="00BB6820">
        <w:rPr>
          <w:rFonts w:ascii="Arial" w:hAnsi="Arial" w:cs="Arial"/>
        </w:rPr>
        <w:t xml:space="preserve"> g</w:t>
      </w:r>
      <w:r w:rsidR="004F5A2F">
        <w:rPr>
          <w:rFonts w:ascii="Arial" w:hAnsi="Arial" w:cs="Arial"/>
        </w:rPr>
        <w:t>łosowaniu</w:t>
      </w:r>
      <w:r w:rsidR="00BB6820" w:rsidRPr="00411EE0">
        <w:rPr>
          <w:rFonts w:ascii="Arial" w:hAnsi="Arial" w:cs="Arial"/>
        </w:rPr>
        <w:t xml:space="preserve"> </w:t>
      </w:r>
      <w:r w:rsidR="00BB6820">
        <w:rPr>
          <w:rFonts w:ascii="Arial" w:hAnsi="Arial" w:cs="Arial"/>
        </w:rPr>
        <w:t>obydwu propozycji przy możliwości oddania 1 głosu „za”</w:t>
      </w:r>
      <w:r w:rsidR="005318B0">
        <w:rPr>
          <w:rFonts w:ascii="Arial" w:hAnsi="Arial" w:cs="Arial"/>
        </w:rPr>
        <w:t xml:space="preserve"> propozycją nr 1 lub propozycją</w:t>
      </w:r>
      <w:r w:rsidR="00BB6820">
        <w:rPr>
          <w:rFonts w:ascii="Arial" w:hAnsi="Arial" w:cs="Arial"/>
        </w:rPr>
        <w:t xml:space="preserve"> nr 2.</w:t>
      </w:r>
    </w:p>
    <w:p w:rsidR="00BB6820" w:rsidRPr="00BB6820" w:rsidRDefault="000D3E34" w:rsidP="00BB682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 kategorii (1 projekt ogólno miejski oraz 4 dzielnicowe) po 20 %</w:t>
      </w:r>
      <w:r w:rsidR="00686607">
        <w:rPr>
          <w:rFonts w:ascii="Arial" w:hAnsi="Arial" w:cs="Arial"/>
        </w:rPr>
        <w:t xml:space="preserve"> kwoty SBO 2015</w:t>
      </w:r>
      <w:r w:rsidR="009B4116">
        <w:rPr>
          <w:rFonts w:ascii="Arial" w:hAnsi="Arial" w:cs="Arial"/>
        </w:rPr>
        <w:t xml:space="preserve"> na każdą </w:t>
      </w:r>
      <w:r w:rsidR="008F6AB0">
        <w:rPr>
          <w:rFonts w:ascii="Arial" w:hAnsi="Arial" w:cs="Arial"/>
        </w:rPr>
        <w:t xml:space="preserve"> – 7 osób „za”</w:t>
      </w:r>
      <w:r w:rsidR="00D41C3A">
        <w:rPr>
          <w:rFonts w:ascii="Arial" w:hAnsi="Arial" w:cs="Arial"/>
        </w:rPr>
        <w:t xml:space="preserve"> na 11 głosujących</w:t>
      </w:r>
      <w:r w:rsidR="008F6AB0">
        <w:rPr>
          <w:rFonts w:ascii="Arial" w:hAnsi="Arial" w:cs="Arial"/>
        </w:rPr>
        <w:t>;</w:t>
      </w:r>
    </w:p>
    <w:p w:rsidR="000D3E34" w:rsidRPr="000D3E34" w:rsidRDefault="00FE3843" w:rsidP="000D3E3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40 % kwoty SBO 2015 na projekty ogólno miejskie oraz 60 % kwoty SBO</w:t>
      </w:r>
      <w:r w:rsidR="008F6AB0">
        <w:rPr>
          <w:rFonts w:ascii="Arial" w:hAnsi="Arial" w:cs="Arial"/>
        </w:rPr>
        <w:t xml:space="preserve"> 2015 na 4 projekty dzielnicowe – 4 osoby „za”</w:t>
      </w:r>
      <w:r w:rsidR="00D41C3A">
        <w:rPr>
          <w:rFonts w:ascii="Arial" w:hAnsi="Arial" w:cs="Arial"/>
        </w:rPr>
        <w:t xml:space="preserve"> na 11 głosujących</w:t>
      </w:r>
      <w:r w:rsidR="008F6AB0">
        <w:rPr>
          <w:rFonts w:ascii="Arial" w:hAnsi="Arial" w:cs="Arial"/>
        </w:rPr>
        <w:t>;</w:t>
      </w:r>
    </w:p>
    <w:p w:rsidR="00411EE0" w:rsidRPr="00411EE0" w:rsidRDefault="00411EE0" w:rsidP="0032584E">
      <w:pPr>
        <w:jc w:val="both"/>
        <w:rPr>
          <w:rFonts w:ascii="Arial" w:hAnsi="Arial" w:cs="Arial"/>
        </w:rPr>
      </w:pPr>
    </w:p>
    <w:p w:rsidR="008F6A4D" w:rsidRPr="0091729D" w:rsidRDefault="00CB5CB2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Ustalono, że po stronie autora wniosku będzie leżała decyzja co do wyboru kategorii składanego projektu: ogólno miejskiego czy dzielnicowego</w:t>
      </w:r>
      <w:r w:rsidR="000E5A24" w:rsidRPr="0091729D">
        <w:rPr>
          <w:rFonts w:ascii="Arial" w:hAnsi="Arial" w:cs="Arial"/>
          <w:u w:val="single"/>
        </w:rPr>
        <w:t>;</w:t>
      </w:r>
    </w:p>
    <w:p w:rsidR="000E5A24" w:rsidRPr="000E5A24" w:rsidRDefault="000E5A24" w:rsidP="000E5A24">
      <w:pPr>
        <w:ind w:left="720"/>
        <w:jc w:val="both"/>
        <w:rPr>
          <w:rFonts w:ascii="Arial" w:hAnsi="Arial" w:cs="Arial"/>
        </w:rPr>
      </w:pPr>
      <w:r w:rsidRPr="000E5A24">
        <w:rPr>
          <w:rFonts w:ascii="Arial" w:hAnsi="Arial" w:cs="Arial"/>
        </w:rPr>
        <w:t>Głosowanie tezy: „</w:t>
      </w:r>
      <w:r>
        <w:rPr>
          <w:rFonts w:ascii="Arial" w:hAnsi="Arial" w:cs="Arial"/>
        </w:rPr>
        <w:t>Czy po stronie au</w:t>
      </w:r>
      <w:r w:rsidR="00A777FF">
        <w:rPr>
          <w:rFonts w:ascii="Arial" w:hAnsi="Arial" w:cs="Arial"/>
        </w:rPr>
        <w:t xml:space="preserve">tora projektu </w:t>
      </w:r>
      <w:r w:rsidR="00CE2BC5">
        <w:rPr>
          <w:rFonts w:ascii="Arial" w:hAnsi="Arial" w:cs="Arial"/>
        </w:rPr>
        <w:t xml:space="preserve">będzie leżała </w:t>
      </w:r>
      <w:r w:rsidR="00A777FF">
        <w:rPr>
          <w:rFonts w:ascii="Arial" w:hAnsi="Arial" w:cs="Arial"/>
        </w:rPr>
        <w:t xml:space="preserve">decyzja co do wyboru </w:t>
      </w:r>
      <w:r w:rsidR="00502E08">
        <w:rPr>
          <w:rFonts w:ascii="Arial" w:hAnsi="Arial" w:cs="Arial"/>
        </w:rPr>
        <w:t xml:space="preserve">charakteru </w:t>
      </w:r>
      <w:r w:rsidR="00A910BA">
        <w:rPr>
          <w:rFonts w:ascii="Arial" w:hAnsi="Arial" w:cs="Arial"/>
        </w:rPr>
        <w:t xml:space="preserve">projektu: </w:t>
      </w:r>
      <w:r>
        <w:rPr>
          <w:rFonts w:ascii="Arial" w:hAnsi="Arial" w:cs="Arial"/>
        </w:rPr>
        <w:t>ogólno miejski</w:t>
      </w:r>
      <w:r w:rsidR="00502E08">
        <w:rPr>
          <w:rFonts w:ascii="Arial" w:hAnsi="Arial" w:cs="Arial"/>
        </w:rPr>
        <w:t>ego czy dzielnicowego?”, 10 głosujących, 8</w:t>
      </w:r>
      <w:r w:rsidRPr="000E5A24">
        <w:rPr>
          <w:rFonts w:ascii="Arial" w:hAnsi="Arial" w:cs="Arial"/>
        </w:rPr>
        <w:t xml:space="preserve"> osób „za”, 0 „wstrzymujących się</w:t>
      </w:r>
      <w:r w:rsidR="00502E08">
        <w:rPr>
          <w:rFonts w:ascii="Arial" w:hAnsi="Arial" w:cs="Arial"/>
        </w:rPr>
        <w:t>” od głosu, 2</w:t>
      </w:r>
      <w:r w:rsidRPr="000E5A24">
        <w:rPr>
          <w:rFonts w:ascii="Arial" w:hAnsi="Arial" w:cs="Arial"/>
        </w:rPr>
        <w:t xml:space="preserve"> „przeciw”.</w:t>
      </w:r>
    </w:p>
    <w:p w:rsidR="004B3D01" w:rsidRPr="0091729D" w:rsidRDefault="001B225B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Zd</w:t>
      </w:r>
      <w:r w:rsidR="00587F55" w:rsidRPr="0091729D">
        <w:rPr>
          <w:rFonts w:ascii="Arial" w:hAnsi="Arial" w:cs="Arial"/>
          <w:u w:val="single"/>
        </w:rPr>
        <w:t>ecydowano, że propozycje z</w:t>
      </w:r>
      <w:r w:rsidR="00B861F4" w:rsidRPr="0091729D">
        <w:rPr>
          <w:rFonts w:ascii="Arial" w:hAnsi="Arial" w:cs="Arial"/>
          <w:u w:val="single"/>
        </w:rPr>
        <w:t>a</w:t>
      </w:r>
      <w:r w:rsidR="00587F55" w:rsidRPr="0091729D">
        <w:rPr>
          <w:rFonts w:ascii="Arial" w:hAnsi="Arial" w:cs="Arial"/>
          <w:u w:val="single"/>
        </w:rPr>
        <w:t>dań do SBO 2015</w:t>
      </w:r>
      <w:r w:rsidR="00A22FA2" w:rsidRPr="0091729D">
        <w:rPr>
          <w:rFonts w:ascii="Arial" w:hAnsi="Arial" w:cs="Arial"/>
          <w:u w:val="single"/>
        </w:rPr>
        <w:t xml:space="preserve"> </w:t>
      </w:r>
      <w:r w:rsidR="00EB1459" w:rsidRPr="0091729D">
        <w:rPr>
          <w:rFonts w:ascii="Arial" w:hAnsi="Arial" w:cs="Arial"/>
          <w:u w:val="single"/>
        </w:rPr>
        <w:t xml:space="preserve">składane </w:t>
      </w:r>
      <w:r w:rsidR="00A22FA2" w:rsidRPr="0091729D">
        <w:rPr>
          <w:rFonts w:ascii="Arial" w:hAnsi="Arial" w:cs="Arial"/>
          <w:u w:val="single"/>
        </w:rPr>
        <w:t xml:space="preserve">będą </w:t>
      </w:r>
      <w:r w:rsidR="00EB1459" w:rsidRPr="0091729D">
        <w:rPr>
          <w:rFonts w:ascii="Arial" w:hAnsi="Arial" w:cs="Arial"/>
          <w:u w:val="single"/>
        </w:rPr>
        <w:t>przez mieszkańców na formularzu</w:t>
      </w:r>
      <w:r w:rsidR="00A22FA2" w:rsidRPr="0091729D">
        <w:rPr>
          <w:rFonts w:ascii="Arial" w:hAnsi="Arial" w:cs="Arial"/>
          <w:u w:val="single"/>
        </w:rPr>
        <w:t>.</w:t>
      </w:r>
    </w:p>
    <w:p w:rsidR="00A22FA2" w:rsidRPr="00A22FA2" w:rsidRDefault="00A22FA2" w:rsidP="00A22FA2">
      <w:pPr>
        <w:ind w:left="720"/>
        <w:jc w:val="both"/>
        <w:rPr>
          <w:rFonts w:ascii="Arial" w:hAnsi="Arial" w:cs="Arial"/>
        </w:rPr>
      </w:pPr>
      <w:r w:rsidRPr="000E5A24">
        <w:rPr>
          <w:rFonts w:ascii="Arial" w:hAnsi="Arial" w:cs="Arial"/>
        </w:rPr>
        <w:t>Głosowanie tezy: „</w:t>
      </w:r>
      <w:r>
        <w:rPr>
          <w:rFonts w:ascii="Arial" w:hAnsi="Arial" w:cs="Arial"/>
        </w:rPr>
        <w:t xml:space="preserve">Czy w celu złożenia wniosku do budżetu obywatelskiego będzie </w:t>
      </w:r>
      <w:r w:rsidR="00C7411F">
        <w:rPr>
          <w:rFonts w:ascii="Arial" w:hAnsi="Arial" w:cs="Arial"/>
        </w:rPr>
        <w:t xml:space="preserve">obowiązywał </w:t>
      </w:r>
      <w:r>
        <w:rPr>
          <w:rFonts w:ascii="Arial" w:hAnsi="Arial" w:cs="Arial"/>
        </w:rPr>
        <w:t>formularz?”</w:t>
      </w:r>
      <w:r w:rsidR="007B77DD">
        <w:rPr>
          <w:rFonts w:ascii="Arial" w:hAnsi="Arial" w:cs="Arial"/>
        </w:rPr>
        <w:t>, 10 głosujących, 9</w:t>
      </w:r>
      <w:r w:rsidRPr="000E5A24">
        <w:rPr>
          <w:rFonts w:ascii="Arial" w:hAnsi="Arial" w:cs="Arial"/>
        </w:rPr>
        <w:t xml:space="preserve"> osób „za”, 0 „wstrzymujących się</w:t>
      </w:r>
      <w:r w:rsidR="007B77DD">
        <w:rPr>
          <w:rFonts w:ascii="Arial" w:hAnsi="Arial" w:cs="Arial"/>
        </w:rPr>
        <w:t>” od głosu, 1</w:t>
      </w:r>
      <w:r w:rsidRPr="000E5A24">
        <w:rPr>
          <w:rFonts w:ascii="Arial" w:hAnsi="Arial" w:cs="Arial"/>
        </w:rPr>
        <w:t xml:space="preserve"> „przeciw”.</w:t>
      </w:r>
    </w:p>
    <w:p w:rsidR="009D065C" w:rsidRPr="0091729D" w:rsidRDefault="00AC2A13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 xml:space="preserve">Zdecydowano, że formularz, na którym będą składane propozycje zadań do SBO 2015 </w:t>
      </w:r>
      <w:r w:rsidR="003E1F52" w:rsidRPr="0091729D">
        <w:rPr>
          <w:rFonts w:ascii="Arial" w:hAnsi="Arial" w:cs="Arial"/>
          <w:u w:val="single"/>
        </w:rPr>
        <w:t xml:space="preserve"> nie będzie wymagał poparcia określonej</w:t>
      </w:r>
      <w:r w:rsidR="00975098" w:rsidRPr="0091729D">
        <w:rPr>
          <w:rFonts w:ascii="Arial" w:hAnsi="Arial" w:cs="Arial"/>
          <w:u w:val="single"/>
        </w:rPr>
        <w:t xml:space="preserve"> liczby</w:t>
      </w:r>
      <w:r w:rsidRPr="0091729D">
        <w:rPr>
          <w:rFonts w:ascii="Arial" w:hAnsi="Arial" w:cs="Arial"/>
          <w:u w:val="single"/>
        </w:rPr>
        <w:t xml:space="preserve"> osób</w:t>
      </w:r>
      <w:r w:rsidR="009B104A" w:rsidRPr="0091729D">
        <w:rPr>
          <w:rFonts w:ascii="Arial" w:hAnsi="Arial" w:cs="Arial"/>
          <w:u w:val="single"/>
        </w:rPr>
        <w:t>.</w:t>
      </w:r>
    </w:p>
    <w:p w:rsidR="00DF4FF4" w:rsidRDefault="009B104A" w:rsidP="00DF4FF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tezy: Czy formularz, na którym składane będą projekty </w:t>
      </w:r>
      <w:r w:rsidR="00DF4FF4">
        <w:rPr>
          <w:rFonts w:ascii="Arial" w:hAnsi="Arial" w:cs="Arial"/>
        </w:rPr>
        <w:t xml:space="preserve">do SBO 2015 </w:t>
      </w:r>
      <w:r>
        <w:rPr>
          <w:rFonts w:ascii="Arial" w:hAnsi="Arial" w:cs="Arial"/>
        </w:rPr>
        <w:t>będzie wymagał pop</w:t>
      </w:r>
      <w:r w:rsidR="00DF4FF4">
        <w:rPr>
          <w:rFonts w:ascii="Arial" w:hAnsi="Arial" w:cs="Arial"/>
        </w:rPr>
        <w:t>ar</w:t>
      </w:r>
      <w:r>
        <w:rPr>
          <w:rFonts w:ascii="Arial" w:hAnsi="Arial" w:cs="Arial"/>
        </w:rPr>
        <w:t>cia</w:t>
      </w:r>
      <w:r w:rsidR="00DF4FF4">
        <w:rPr>
          <w:rFonts w:ascii="Arial" w:hAnsi="Arial" w:cs="Arial"/>
        </w:rPr>
        <w:t xml:space="preserve"> określonej liczby osób? 9 głosujących, 5</w:t>
      </w:r>
      <w:r w:rsidR="00DF4FF4" w:rsidRPr="000E5A24">
        <w:rPr>
          <w:rFonts w:ascii="Arial" w:hAnsi="Arial" w:cs="Arial"/>
        </w:rPr>
        <w:t xml:space="preserve"> osób „za”, </w:t>
      </w:r>
      <w:r w:rsidR="003E1F52">
        <w:rPr>
          <w:rFonts w:ascii="Arial" w:hAnsi="Arial" w:cs="Arial"/>
        </w:rPr>
        <w:br/>
      </w:r>
      <w:r w:rsidR="00DF4FF4" w:rsidRPr="000E5A24">
        <w:rPr>
          <w:rFonts w:ascii="Arial" w:hAnsi="Arial" w:cs="Arial"/>
        </w:rPr>
        <w:t>0 „wstrzymujących się</w:t>
      </w:r>
      <w:r w:rsidR="00DF4FF4">
        <w:rPr>
          <w:rFonts w:ascii="Arial" w:hAnsi="Arial" w:cs="Arial"/>
        </w:rPr>
        <w:t>” od głosu, 4</w:t>
      </w:r>
      <w:r w:rsidR="00DF4FF4" w:rsidRPr="000E5A24">
        <w:rPr>
          <w:rFonts w:ascii="Arial" w:hAnsi="Arial" w:cs="Arial"/>
        </w:rPr>
        <w:t xml:space="preserve"> „przeciw”.</w:t>
      </w:r>
    </w:p>
    <w:p w:rsidR="00AC0B4F" w:rsidRDefault="007C68F3" w:rsidP="00DF4FF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dyskusji nad przedmiotową kwestią Zespół </w:t>
      </w:r>
      <w:r w:rsidR="00AC0B4F">
        <w:rPr>
          <w:rFonts w:ascii="Arial" w:hAnsi="Arial" w:cs="Arial"/>
        </w:rPr>
        <w:t xml:space="preserve">jednogłośnie </w:t>
      </w:r>
      <w:r>
        <w:rPr>
          <w:rFonts w:ascii="Arial" w:hAnsi="Arial" w:cs="Arial"/>
        </w:rPr>
        <w:t>przyjął uchwałę</w:t>
      </w:r>
      <w:r w:rsidR="00AC0B4F">
        <w:rPr>
          <w:rFonts w:ascii="Arial" w:hAnsi="Arial" w:cs="Arial"/>
        </w:rPr>
        <w:t xml:space="preserve"> </w:t>
      </w:r>
      <w:r w:rsidR="00503EA6">
        <w:rPr>
          <w:rFonts w:ascii="Arial" w:hAnsi="Arial" w:cs="Arial"/>
        </w:rPr>
        <w:br/>
      </w:r>
      <w:r w:rsidR="00AC0B4F">
        <w:rPr>
          <w:rFonts w:ascii="Arial" w:hAnsi="Arial" w:cs="Arial"/>
        </w:rPr>
        <w:t>o reasumpcji postawionej tezy (9 głosujących).</w:t>
      </w:r>
    </w:p>
    <w:p w:rsidR="009D065C" w:rsidRPr="00CE25B3" w:rsidRDefault="00CA251D" w:rsidP="00CE25B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drodze p</w:t>
      </w:r>
      <w:r w:rsidR="00AC0B4F">
        <w:rPr>
          <w:rFonts w:ascii="Arial" w:hAnsi="Arial" w:cs="Arial"/>
        </w:rPr>
        <w:t>onowne</w:t>
      </w:r>
      <w:r>
        <w:rPr>
          <w:rFonts w:ascii="Arial" w:hAnsi="Arial" w:cs="Arial"/>
        </w:rPr>
        <w:t>go</w:t>
      </w:r>
      <w:r w:rsidR="00AC0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głosowania, za postawioną tezą opowiedziało się 0 osób, </w:t>
      </w:r>
      <w:r w:rsidR="004920AA">
        <w:rPr>
          <w:rFonts w:ascii="Arial" w:hAnsi="Arial" w:cs="Arial"/>
        </w:rPr>
        <w:br/>
      </w:r>
      <w:r>
        <w:rPr>
          <w:rFonts w:ascii="Arial" w:hAnsi="Arial" w:cs="Arial"/>
        </w:rPr>
        <w:t>1 osoba „wstrzymała się”</w:t>
      </w:r>
      <w:r w:rsidR="00E704F5">
        <w:rPr>
          <w:rFonts w:ascii="Arial" w:hAnsi="Arial" w:cs="Arial"/>
        </w:rPr>
        <w:t xml:space="preserve"> od głosu,</w:t>
      </w:r>
      <w:r w:rsidR="00D4413C">
        <w:rPr>
          <w:rFonts w:ascii="Arial" w:hAnsi="Arial" w:cs="Arial"/>
        </w:rPr>
        <w:t xml:space="preserve"> </w:t>
      </w:r>
      <w:r w:rsidR="00E704F5">
        <w:rPr>
          <w:rFonts w:ascii="Arial" w:hAnsi="Arial" w:cs="Arial"/>
        </w:rPr>
        <w:t>8 osób było „przeciw”;</w:t>
      </w:r>
    </w:p>
    <w:p w:rsidR="009D065C" w:rsidRPr="0091729D" w:rsidRDefault="00605610" w:rsidP="004B3D0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u w:val="single"/>
        </w:rPr>
      </w:pPr>
      <w:r w:rsidRPr="0091729D">
        <w:rPr>
          <w:rFonts w:ascii="Arial" w:hAnsi="Arial" w:cs="Arial"/>
          <w:u w:val="single"/>
        </w:rPr>
        <w:t>Zespół postanowił</w:t>
      </w:r>
      <w:r w:rsidR="00AC0B8D" w:rsidRPr="0091729D">
        <w:rPr>
          <w:rFonts w:ascii="Arial" w:hAnsi="Arial" w:cs="Arial"/>
          <w:u w:val="single"/>
        </w:rPr>
        <w:t>, że</w:t>
      </w:r>
      <w:r w:rsidR="00471CB0" w:rsidRPr="0091729D">
        <w:rPr>
          <w:rFonts w:ascii="Arial" w:hAnsi="Arial" w:cs="Arial"/>
          <w:u w:val="single"/>
        </w:rPr>
        <w:t xml:space="preserve"> </w:t>
      </w:r>
      <w:r w:rsidR="00AC0B8D" w:rsidRPr="0091729D">
        <w:rPr>
          <w:rFonts w:ascii="Arial" w:hAnsi="Arial" w:cs="Arial"/>
          <w:u w:val="single"/>
        </w:rPr>
        <w:t>propozycje zadań do SBO 2015</w:t>
      </w:r>
      <w:r w:rsidR="00471CB0" w:rsidRPr="0091729D">
        <w:rPr>
          <w:rFonts w:ascii="Arial" w:hAnsi="Arial" w:cs="Arial"/>
          <w:u w:val="single"/>
        </w:rPr>
        <w:t xml:space="preserve"> będzie można składać na formularzu w wersji elektronicznej lub papierowej.</w:t>
      </w:r>
    </w:p>
    <w:p w:rsidR="00471CB0" w:rsidRDefault="00471CB0" w:rsidP="00471CB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Głosowanie tezy: Czy</w:t>
      </w:r>
      <w:r w:rsidR="000F77FF">
        <w:rPr>
          <w:rFonts w:ascii="Arial" w:hAnsi="Arial" w:cs="Arial"/>
        </w:rPr>
        <w:t xml:space="preserve"> formularz, na którym będą składane</w:t>
      </w:r>
      <w:r>
        <w:rPr>
          <w:rFonts w:ascii="Arial" w:hAnsi="Arial" w:cs="Arial"/>
        </w:rPr>
        <w:t xml:space="preserve"> projekty do SBO 2015 </w:t>
      </w:r>
      <w:r w:rsidR="00061D3F">
        <w:rPr>
          <w:rFonts w:ascii="Arial" w:hAnsi="Arial" w:cs="Arial"/>
        </w:rPr>
        <w:t>będzie występował zarówno w wersji elektronicznej, jak i papierowej</w:t>
      </w:r>
      <w:r>
        <w:rPr>
          <w:rFonts w:ascii="Arial" w:hAnsi="Arial" w:cs="Arial"/>
        </w:rPr>
        <w:t>? 9 głosujących</w:t>
      </w:r>
      <w:r w:rsidR="00061D3F">
        <w:rPr>
          <w:rFonts w:ascii="Arial" w:hAnsi="Arial" w:cs="Arial"/>
        </w:rPr>
        <w:t>, jednogłośnie.</w:t>
      </w:r>
    </w:p>
    <w:p w:rsidR="00AF70C3" w:rsidRDefault="00AF70C3" w:rsidP="00471CB0">
      <w:pPr>
        <w:ind w:left="720"/>
        <w:jc w:val="both"/>
        <w:rPr>
          <w:rFonts w:ascii="Arial" w:hAnsi="Arial" w:cs="Arial"/>
        </w:rPr>
      </w:pPr>
    </w:p>
    <w:p w:rsidR="00AF70C3" w:rsidRDefault="00AF70C3" w:rsidP="00471CB0">
      <w:pPr>
        <w:ind w:left="720"/>
        <w:jc w:val="both"/>
        <w:rPr>
          <w:rFonts w:ascii="Arial" w:hAnsi="Arial" w:cs="Arial"/>
        </w:rPr>
      </w:pPr>
    </w:p>
    <w:p w:rsidR="00AF70C3" w:rsidRPr="00471CB0" w:rsidRDefault="00AF70C3" w:rsidP="00471CB0">
      <w:pPr>
        <w:ind w:left="720"/>
        <w:jc w:val="both"/>
        <w:rPr>
          <w:rFonts w:ascii="Arial" w:hAnsi="Arial" w:cs="Arial"/>
        </w:rPr>
      </w:pPr>
    </w:p>
    <w:p w:rsidR="00D23AA9" w:rsidRDefault="00D23AA9" w:rsidP="00D23AA9">
      <w:pPr>
        <w:jc w:val="both"/>
        <w:rPr>
          <w:rFonts w:ascii="Arial" w:hAnsi="Arial" w:cs="Arial"/>
          <w:b/>
        </w:rPr>
      </w:pPr>
      <w:r w:rsidRPr="00D23AA9">
        <w:rPr>
          <w:rFonts w:ascii="Arial" w:hAnsi="Arial" w:cs="Arial"/>
          <w:b/>
        </w:rPr>
        <w:lastRenderedPageBreak/>
        <w:t>Inne  poruszone tematy:</w:t>
      </w:r>
    </w:p>
    <w:p w:rsidR="00C83F4B" w:rsidRPr="00AF70C3" w:rsidRDefault="00956F49" w:rsidP="00AF70C3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AF70C3">
        <w:rPr>
          <w:rFonts w:ascii="Arial" w:hAnsi="Arial" w:cs="Arial"/>
        </w:rPr>
        <w:t>Wprowadzenie możliwości łączenia przedsięwzięć np. dzięki organizacji spotkań autorów projektów</w:t>
      </w:r>
      <w:r w:rsidR="00C83F4B" w:rsidRPr="00AF70C3">
        <w:rPr>
          <w:rFonts w:ascii="Arial" w:hAnsi="Arial" w:cs="Arial"/>
        </w:rPr>
        <w:t xml:space="preserve"> (trudności przy łączeniu podobnych projektów, jednak </w:t>
      </w:r>
      <w:r w:rsidR="00B571F9">
        <w:rPr>
          <w:rFonts w:ascii="Arial" w:hAnsi="Arial" w:cs="Arial"/>
        </w:rPr>
        <w:br/>
      </w:r>
      <w:r w:rsidR="00C83F4B" w:rsidRPr="00AF70C3">
        <w:rPr>
          <w:rFonts w:ascii="Arial" w:hAnsi="Arial" w:cs="Arial"/>
        </w:rPr>
        <w:t>o różnym zasięgu: dzielnicowym lub ogólno miejskim);</w:t>
      </w:r>
    </w:p>
    <w:p w:rsidR="00AF70C3" w:rsidRPr="00AF70C3" w:rsidRDefault="00AF70C3" w:rsidP="00AF70C3">
      <w:pPr>
        <w:pStyle w:val="Akapitzlist"/>
        <w:ind w:left="1068"/>
        <w:jc w:val="both"/>
        <w:rPr>
          <w:rFonts w:ascii="Arial" w:hAnsi="Arial" w:cs="Arial"/>
        </w:rPr>
      </w:pPr>
    </w:p>
    <w:p w:rsidR="0092539D" w:rsidRPr="0092539D" w:rsidRDefault="003B3DDE" w:rsidP="0092539D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</w:t>
      </w:r>
      <w:r w:rsidR="00B13527">
        <w:rPr>
          <w:rFonts w:ascii="Arial" w:hAnsi="Arial" w:cs="Arial"/>
        </w:rPr>
        <w:t>oddawania</w:t>
      </w:r>
      <w:r>
        <w:rPr>
          <w:rFonts w:ascii="Arial" w:hAnsi="Arial" w:cs="Arial"/>
        </w:rPr>
        <w:t xml:space="preserve"> głosów </w:t>
      </w:r>
      <w:r w:rsidR="00B13527">
        <w:rPr>
          <w:rFonts w:ascii="Arial" w:hAnsi="Arial" w:cs="Arial"/>
        </w:rPr>
        <w:t xml:space="preserve">na poszczególne projekty </w:t>
      </w:r>
      <w:r w:rsidR="008469C4">
        <w:rPr>
          <w:rFonts w:ascii="Arial" w:hAnsi="Arial" w:cs="Arial"/>
        </w:rPr>
        <w:t>w głosowaniu: Propozycje:</w:t>
      </w:r>
    </w:p>
    <w:p w:rsidR="008469C4" w:rsidRDefault="008469C4" w:rsidP="00AF70C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B3DDE">
        <w:rPr>
          <w:rFonts w:ascii="Arial" w:hAnsi="Arial" w:cs="Arial"/>
        </w:rPr>
        <w:t>1 głos na projekt ogólno miejski</w:t>
      </w:r>
      <w:r>
        <w:rPr>
          <w:rFonts w:ascii="Arial" w:hAnsi="Arial" w:cs="Arial"/>
        </w:rPr>
        <w:t xml:space="preserve"> i po </w:t>
      </w:r>
      <w:r w:rsidR="003B3DDE">
        <w:rPr>
          <w:rFonts w:ascii="Arial" w:hAnsi="Arial" w:cs="Arial"/>
        </w:rPr>
        <w:t xml:space="preserve">1 głosie na każdą </w:t>
      </w:r>
      <w:r>
        <w:rPr>
          <w:rFonts w:ascii="Arial" w:hAnsi="Arial" w:cs="Arial"/>
        </w:rPr>
        <w:t>z 4 dzielnic;</w:t>
      </w:r>
    </w:p>
    <w:p w:rsidR="008469C4" w:rsidRDefault="00945615" w:rsidP="00AF70C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- 1 głos n</w:t>
      </w:r>
      <w:r w:rsidR="008469C4">
        <w:rPr>
          <w:rFonts w:ascii="Arial" w:hAnsi="Arial" w:cs="Arial"/>
        </w:rPr>
        <w:t xml:space="preserve">a projekt ogólno miejski oraz </w:t>
      </w:r>
      <w:r w:rsidR="00B0050A">
        <w:rPr>
          <w:rFonts w:ascii="Arial" w:hAnsi="Arial" w:cs="Arial"/>
        </w:rPr>
        <w:t xml:space="preserve">1 głos </w:t>
      </w:r>
      <w:r w:rsidR="00AF70C3">
        <w:rPr>
          <w:rFonts w:ascii="Arial" w:hAnsi="Arial" w:cs="Arial"/>
        </w:rPr>
        <w:t xml:space="preserve">tylko </w:t>
      </w:r>
      <w:r w:rsidR="008469C4">
        <w:rPr>
          <w:rFonts w:ascii="Arial" w:hAnsi="Arial" w:cs="Arial"/>
        </w:rPr>
        <w:t>na 1 dzielnicę;</w:t>
      </w:r>
    </w:p>
    <w:p w:rsidR="00AF70C3" w:rsidRDefault="00AF70C3" w:rsidP="00AF70C3">
      <w:pPr>
        <w:pStyle w:val="Akapitzlist"/>
        <w:jc w:val="both"/>
        <w:rPr>
          <w:rFonts w:ascii="Arial" w:hAnsi="Arial" w:cs="Arial"/>
        </w:rPr>
      </w:pPr>
    </w:p>
    <w:p w:rsidR="00B13527" w:rsidRDefault="00945615" w:rsidP="00AF70C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 z określeniem przez mieszkańców do której</w:t>
      </w:r>
      <w:r w:rsidR="00F60B2D">
        <w:rPr>
          <w:rFonts w:ascii="Arial" w:hAnsi="Arial" w:cs="Arial"/>
        </w:rPr>
        <w:t xml:space="preserve"> dzielnicy należy projekt, zwłaszcza w p</w:t>
      </w:r>
      <w:r w:rsidR="00B13527">
        <w:rPr>
          <w:rFonts w:ascii="Arial" w:hAnsi="Arial" w:cs="Arial"/>
        </w:rPr>
        <w:t>rzypadku projektów granicznych. Propozycja utworzenia mapy, lokalizującej położenie inwestycji.</w:t>
      </w:r>
    </w:p>
    <w:p w:rsidR="00AF70C3" w:rsidRDefault="00AF70C3" w:rsidP="00AF70C3">
      <w:pPr>
        <w:pStyle w:val="Akapitzlist"/>
        <w:ind w:left="1080"/>
        <w:jc w:val="both"/>
        <w:rPr>
          <w:rFonts w:ascii="Arial" w:hAnsi="Arial" w:cs="Arial"/>
        </w:rPr>
      </w:pPr>
    </w:p>
    <w:p w:rsidR="00C83F4B" w:rsidRDefault="00FD539E" w:rsidP="00AF60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Określenie katalogu podmiotów uprawnionych do </w:t>
      </w:r>
      <w:r w:rsidR="001A3B2C">
        <w:rPr>
          <w:rFonts w:ascii="Arial" w:hAnsi="Arial" w:cs="Arial"/>
        </w:rPr>
        <w:t xml:space="preserve">głosowania (wystąpienie </w:t>
      </w:r>
      <w:r w:rsidR="00A942E8">
        <w:rPr>
          <w:rFonts w:ascii="Arial" w:hAnsi="Arial" w:cs="Arial"/>
        </w:rPr>
        <w:br/>
      </w:r>
      <w:r w:rsidR="001A3B2C">
        <w:rPr>
          <w:rFonts w:ascii="Arial" w:hAnsi="Arial" w:cs="Arial"/>
        </w:rPr>
        <w:t xml:space="preserve">o opinię prawną do radcy urzędu w sprawie prawidłowego określenia katalogu osób uprawnionych do udziału w konsultacjach społecznych); </w:t>
      </w:r>
    </w:p>
    <w:p w:rsidR="00AF60D7" w:rsidRPr="00AF60D7" w:rsidRDefault="00AF60D7" w:rsidP="00AF60D7">
      <w:pPr>
        <w:pStyle w:val="Akapitzlist"/>
        <w:rPr>
          <w:rFonts w:ascii="Arial" w:hAnsi="Arial" w:cs="Arial"/>
        </w:rPr>
      </w:pPr>
    </w:p>
    <w:p w:rsidR="00AF60D7" w:rsidRPr="00C83F4B" w:rsidRDefault="00AF60D7" w:rsidP="00AF60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Przygotowanie wzoru formularza zgłoszeniowego propozycji zadania </w:t>
      </w:r>
      <w:r w:rsidR="008B7B5A">
        <w:rPr>
          <w:rFonts w:ascii="Arial" w:hAnsi="Arial" w:cs="Arial"/>
        </w:rPr>
        <w:br/>
        <w:t xml:space="preserve">do </w:t>
      </w:r>
      <w:r>
        <w:rPr>
          <w:rFonts w:ascii="Arial" w:hAnsi="Arial" w:cs="Arial"/>
        </w:rPr>
        <w:t>SBO 2015;</w:t>
      </w:r>
    </w:p>
    <w:p w:rsidR="002D6680" w:rsidRDefault="002D6680" w:rsidP="002D6680">
      <w:pPr>
        <w:pStyle w:val="Akapitzlist"/>
        <w:jc w:val="both"/>
        <w:rPr>
          <w:rFonts w:ascii="Arial" w:hAnsi="Arial" w:cs="Arial"/>
        </w:rPr>
      </w:pPr>
    </w:p>
    <w:p w:rsidR="00740551" w:rsidRPr="00B92E1A" w:rsidRDefault="00445082" w:rsidP="00B92E1A">
      <w:pPr>
        <w:jc w:val="both"/>
        <w:rPr>
          <w:rFonts w:ascii="Arial" w:eastAsia="Calibri" w:hAnsi="Arial" w:cs="Arial"/>
        </w:rPr>
      </w:pPr>
      <w:r w:rsidRPr="00B92E1A">
        <w:rPr>
          <w:rFonts w:ascii="Arial" w:eastAsia="Calibri" w:hAnsi="Arial" w:cs="Arial"/>
        </w:rPr>
        <w:t>Prz</w:t>
      </w:r>
      <w:r w:rsidR="00652D72">
        <w:rPr>
          <w:rFonts w:ascii="Arial" w:eastAsia="Calibri" w:hAnsi="Arial" w:cs="Arial"/>
        </w:rPr>
        <w:t xml:space="preserve">ypomniano o </w:t>
      </w:r>
      <w:r w:rsidR="002D6680" w:rsidRPr="00B92E1A">
        <w:rPr>
          <w:rFonts w:ascii="Arial" w:eastAsia="Calibri" w:hAnsi="Arial" w:cs="Arial"/>
        </w:rPr>
        <w:t>termin</w:t>
      </w:r>
      <w:r w:rsidR="00B571F9">
        <w:rPr>
          <w:rFonts w:ascii="Arial" w:eastAsia="Calibri" w:hAnsi="Arial" w:cs="Arial"/>
        </w:rPr>
        <w:t>ie</w:t>
      </w:r>
      <w:r w:rsidR="00652D72">
        <w:rPr>
          <w:rFonts w:ascii="Arial" w:eastAsia="Calibri" w:hAnsi="Arial" w:cs="Arial"/>
        </w:rPr>
        <w:t xml:space="preserve"> kolejnego</w:t>
      </w:r>
      <w:r w:rsidR="002D6680" w:rsidRPr="00B92E1A">
        <w:rPr>
          <w:rFonts w:ascii="Arial" w:eastAsia="Calibri" w:hAnsi="Arial" w:cs="Arial"/>
        </w:rPr>
        <w:t xml:space="preserve"> spotkania Zespołu</w:t>
      </w:r>
      <w:r w:rsidR="00B571F9">
        <w:rPr>
          <w:rFonts w:ascii="Arial" w:eastAsia="Calibri" w:hAnsi="Arial" w:cs="Arial"/>
        </w:rPr>
        <w:t xml:space="preserve">, </w:t>
      </w:r>
      <w:r w:rsidRPr="00B92E1A">
        <w:rPr>
          <w:rFonts w:ascii="Arial" w:eastAsia="Calibri" w:hAnsi="Arial" w:cs="Arial"/>
        </w:rPr>
        <w:t>przypada</w:t>
      </w:r>
      <w:r w:rsidR="00B571F9">
        <w:rPr>
          <w:rFonts w:ascii="Arial" w:eastAsia="Calibri" w:hAnsi="Arial" w:cs="Arial"/>
        </w:rPr>
        <w:t>jącym</w:t>
      </w:r>
      <w:r w:rsidRPr="00B92E1A">
        <w:rPr>
          <w:rFonts w:ascii="Arial" w:eastAsia="Calibri" w:hAnsi="Arial" w:cs="Arial"/>
        </w:rPr>
        <w:t xml:space="preserve"> na dzień 06 maja</w:t>
      </w:r>
      <w:r w:rsidR="008F22B4" w:rsidRPr="00B92E1A">
        <w:rPr>
          <w:rFonts w:ascii="Arial" w:eastAsia="Calibri" w:hAnsi="Arial" w:cs="Arial"/>
        </w:rPr>
        <w:t xml:space="preserve"> 20</w:t>
      </w:r>
      <w:r w:rsidR="00B571F9">
        <w:rPr>
          <w:rFonts w:ascii="Arial" w:eastAsia="Calibri" w:hAnsi="Arial" w:cs="Arial"/>
        </w:rPr>
        <w:t xml:space="preserve">14 r., </w:t>
      </w:r>
      <w:r w:rsidR="002D6680" w:rsidRPr="00B92E1A">
        <w:rPr>
          <w:rFonts w:ascii="Arial" w:eastAsia="Calibri" w:hAnsi="Arial" w:cs="Arial"/>
        </w:rPr>
        <w:t xml:space="preserve">godz. 16:30. </w:t>
      </w: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P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CA" w:rsidRDefault="00E66DCA" w:rsidP="002D3BA5">
      <w:pPr>
        <w:spacing w:after="0" w:line="240" w:lineRule="auto"/>
      </w:pPr>
      <w:r>
        <w:separator/>
      </w:r>
    </w:p>
  </w:endnote>
  <w:endnote w:type="continuationSeparator" w:id="1">
    <w:p w:rsidR="00E66DCA" w:rsidRDefault="00E66DCA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CA" w:rsidRDefault="00E66DCA" w:rsidP="002D3BA5">
      <w:pPr>
        <w:spacing w:after="0" w:line="240" w:lineRule="auto"/>
      </w:pPr>
      <w:r>
        <w:separator/>
      </w:r>
    </w:p>
  </w:footnote>
  <w:footnote w:type="continuationSeparator" w:id="1">
    <w:p w:rsidR="00E66DCA" w:rsidRDefault="00E66DCA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565B7C"/>
    <w:multiLevelType w:val="hybridMultilevel"/>
    <w:tmpl w:val="6CB26760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5"/>
    <w:rsid w:val="0002309B"/>
    <w:rsid w:val="000245D6"/>
    <w:rsid w:val="0002785B"/>
    <w:rsid w:val="00041763"/>
    <w:rsid w:val="00045927"/>
    <w:rsid w:val="00046867"/>
    <w:rsid w:val="000557DD"/>
    <w:rsid w:val="00061D3F"/>
    <w:rsid w:val="00066EB7"/>
    <w:rsid w:val="0007791F"/>
    <w:rsid w:val="000952F8"/>
    <w:rsid w:val="000C4AF3"/>
    <w:rsid w:val="000C7182"/>
    <w:rsid w:val="000D3E34"/>
    <w:rsid w:val="000E5A24"/>
    <w:rsid w:val="000E7E53"/>
    <w:rsid w:val="000F4A61"/>
    <w:rsid w:val="000F77FF"/>
    <w:rsid w:val="00111E5E"/>
    <w:rsid w:val="0012050D"/>
    <w:rsid w:val="001425DB"/>
    <w:rsid w:val="00145237"/>
    <w:rsid w:val="001478DB"/>
    <w:rsid w:val="00155C8B"/>
    <w:rsid w:val="0015723A"/>
    <w:rsid w:val="00171936"/>
    <w:rsid w:val="00173810"/>
    <w:rsid w:val="00192ABF"/>
    <w:rsid w:val="001A1B15"/>
    <w:rsid w:val="001A3B2C"/>
    <w:rsid w:val="001B225B"/>
    <w:rsid w:val="001B484C"/>
    <w:rsid w:val="001C075F"/>
    <w:rsid w:val="001C3351"/>
    <w:rsid w:val="001C3F79"/>
    <w:rsid w:val="001D474F"/>
    <w:rsid w:val="001D77A2"/>
    <w:rsid w:val="001E5395"/>
    <w:rsid w:val="001F3F04"/>
    <w:rsid w:val="001F615E"/>
    <w:rsid w:val="001F7313"/>
    <w:rsid w:val="00223B6A"/>
    <w:rsid w:val="00223BA2"/>
    <w:rsid w:val="00232529"/>
    <w:rsid w:val="002330C3"/>
    <w:rsid w:val="00235915"/>
    <w:rsid w:val="00237E8A"/>
    <w:rsid w:val="002437B3"/>
    <w:rsid w:val="0024422B"/>
    <w:rsid w:val="00255329"/>
    <w:rsid w:val="00257926"/>
    <w:rsid w:val="00262038"/>
    <w:rsid w:val="002629EA"/>
    <w:rsid w:val="002663A2"/>
    <w:rsid w:val="00270EB6"/>
    <w:rsid w:val="00274501"/>
    <w:rsid w:val="00290751"/>
    <w:rsid w:val="00294D8B"/>
    <w:rsid w:val="002A06A6"/>
    <w:rsid w:val="002A4D3A"/>
    <w:rsid w:val="002B4FC2"/>
    <w:rsid w:val="002D3BA5"/>
    <w:rsid w:val="002D6680"/>
    <w:rsid w:val="002E3A03"/>
    <w:rsid w:val="002E4CDA"/>
    <w:rsid w:val="003021E8"/>
    <w:rsid w:val="00307383"/>
    <w:rsid w:val="00307B8A"/>
    <w:rsid w:val="00312416"/>
    <w:rsid w:val="003171B2"/>
    <w:rsid w:val="0032584E"/>
    <w:rsid w:val="00352708"/>
    <w:rsid w:val="0035427C"/>
    <w:rsid w:val="00355CF3"/>
    <w:rsid w:val="0035663D"/>
    <w:rsid w:val="0036371D"/>
    <w:rsid w:val="00377676"/>
    <w:rsid w:val="00387A64"/>
    <w:rsid w:val="003944FD"/>
    <w:rsid w:val="003A7596"/>
    <w:rsid w:val="003B3DDE"/>
    <w:rsid w:val="003C3339"/>
    <w:rsid w:val="003D282B"/>
    <w:rsid w:val="003D575E"/>
    <w:rsid w:val="003E0468"/>
    <w:rsid w:val="003E1F52"/>
    <w:rsid w:val="003E3BAC"/>
    <w:rsid w:val="00400295"/>
    <w:rsid w:val="00407987"/>
    <w:rsid w:val="00411EE0"/>
    <w:rsid w:val="00427AAC"/>
    <w:rsid w:val="00440B1B"/>
    <w:rsid w:val="00445082"/>
    <w:rsid w:val="0046474D"/>
    <w:rsid w:val="00471CB0"/>
    <w:rsid w:val="004920AA"/>
    <w:rsid w:val="004A3D46"/>
    <w:rsid w:val="004B3D01"/>
    <w:rsid w:val="004D18CC"/>
    <w:rsid w:val="004E3162"/>
    <w:rsid w:val="004E50AA"/>
    <w:rsid w:val="004F01CA"/>
    <w:rsid w:val="004F4781"/>
    <w:rsid w:val="004F5A2F"/>
    <w:rsid w:val="004F79F4"/>
    <w:rsid w:val="005025A0"/>
    <w:rsid w:val="00502E08"/>
    <w:rsid w:val="00503EA6"/>
    <w:rsid w:val="00517C45"/>
    <w:rsid w:val="00527DE8"/>
    <w:rsid w:val="00530340"/>
    <w:rsid w:val="005318B0"/>
    <w:rsid w:val="00546E19"/>
    <w:rsid w:val="00546FE3"/>
    <w:rsid w:val="005544F9"/>
    <w:rsid w:val="005634A2"/>
    <w:rsid w:val="00565284"/>
    <w:rsid w:val="00566F75"/>
    <w:rsid w:val="00570C86"/>
    <w:rsid w:val="00581C47"/>
    <w:rsid w:val="00587F55"/>
    <w:rsid w:val="0059543E"/>
    <w:rsid w:val="005A7F2F"/>
    <w:rsid w:val="005C1EBD"/>
    <w:rsid w:val="005C2319"/>
    <w:rsid w:val="005C6147"/>
    <w:rsid w:val="005D5B39"/>
    <w:rsid w:val="005D5BF4"/>
    <w:rsid w:val="005E08F0"/>
    <w:rsid w:val="005E4CEB"/>
    <w:rsid w:val="005F3BB6"/>
    <w:rsid w:val="0060492D"/>
    <w:rsid w:val="00605610"/>
    <w:rsid w:val="00606E77"/>
    <w:rsid w:val="00616EF8"/>
    <w:rsid w:val="0062448B"/>
    <w:rsid w:val="006369FD"/>
    <w:rsid w:val="00636ECA"/>
    <w:rsid w:val="00642AF4"/>
    <w:rsid w:val="00645F79"/>
    <w:rsid w:val="006467FE"/>
    <w:rsid w:val="00652D72"/>
    <w:rsid w:val="006538CC"/>
    <w:rsid w:val="00654525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D172D"/>
    <w:rsid w:val="006D362D"/>
    <w:rsid w:val="006D5D90"/>
    <w:rsid w:val="006E651F"/>
    <w:rsid w:val="00705051"/>
    <w:rsid w:val="0070698E"/>
    <w:rsid w:val="007264EE"/>
    <w:rsid w:val="00727FA2"/>
    <w:rsid w:val="00735607"/>
    <w:rsid w:val="007359B0"/>
    <w:rsid w:val="007369E6"/>
    <w:rsid w:val="0073728B"/>
    <w:rsid w:val="00740551"/>
    <w:rsid w:val="0075781F"/>
    <w:rsid w:val="00762819"/>
    <w:rsid w:val="00774589"/>
    <w:rsid w:val="0078458E"/>
    <w:rsid w:val="007B4A37"/>
    <w:rsid w:val="007B77DD"/>
    <w:rsid w:val="007C655D"/>
    <w:rsid w:val="007C68F3"/>
    <w:rsid w:val="007D40FD"/>
    <w:rsid w:val="007D72FD"/>
    <w:rsid w:val="00812E4A"/>
    <w:rsid w:val="00832767"/>
    <w:rsid w:val="008469C4"/>
    <w:rsid w:val="00851E54"/>
    <w:rsid w:val="00853AF2"/>
    <w:rsid w:val="00856F56"/>
    <w:rsid w:val="00873F7C"/>
    <w:rsid w:val="008839DB"/>
    <w:rsid w:val="00887573"/>
    <w:rsid w:val="0088792B"/>
    <w:rsid w:val="008A0AB9"/>
    <w:rsid w:val="008A2A63"/>
    <w:rsid w:val="008B0F15"/>
    <w:rsid w:val="008B1448"/>
    <w:rsid w:val="008B7B5A"/>
    <w:rsid w:val="008C060F"/>
    <w:rsid w:val="008E16CE"/>
    <w:rsid w:val="008E2DAF"/>
    <w:rsid w:val="008F22B4"/>
    <w:rsid w:val="008F6A4D"/>
    <w:rsid w:val="008F6AB0"/>
    <w:rsid w:val="008F7EB4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6F49"/>
    <w:rsid w:val="009574F3"/>
    <w:rsid w:val="009600CA"/>
    <w:rsid w:val="00963DBF"/>
    <w:rsid w:val="00975098"/>
    <w:rsid w:val="009933D3"/>
    <w:rsid w:val="009A0081"/>
    <w:rsid w:val="009A3E76"/>
    <w:rsid w:val="009B01A6"/>
    <w:rsid w:val="009B104A"/>
    <w:rsid w:val="009B144C"/>
    <w:rsid w:val="009B4116"/>
    <w:rsid w:val="009C0D82"/>
    <w:rsid w:val="009C62B9"/>
    <w:rsid w:val="009D065C"/>
    <w:rsid w:val="009F3355"/>
    <w:rsid w:val="009F435E"/>
    <w:rsid w:val="009F6590"/>
    <w:rsid w:val="00A155F6"/>
    <w:rsid w:val="00A22FA2"/>
    <w:rsid w:val="00A23C98"/>
    <w:rsid w:val="00A24204"/>
    <w:rsid w:val="00A4154E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4BFC"/>
    <w:rsid w:val="00AB6B2D"/>
    <w:rsid w:val="00AC0B4F"/>
    <w:rsid w:val="00AC0B8D"/>
    <w:rsid w:val="00AC2A13"/>
    <w:rsid w:val="00AC4D68"/>
    <w:rsid w:val="00AE2779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402F9"/>
    <w:rsid w:val="00B40BF0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7255"/>
    <w:rsid w:val="00BD2E06"/>
    <w:rsid w:val="00BE33B1"/>
    <w:rsid w:val="00BE3C8B"/>
    <w:rsid w:val="00BF13C1"/>
    <w:rsid w:val="00BF1AC2"/>
    <w:rsid w:val="00C00430"/>
    <w:rsid w:val="00C005C1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51333"/>
    <w:rsid w:val="00C629E6"/>
    <w:rsid w:val="00C63EAC"/>
    <w:rsid w:val="00C7107C"/>
    <w:rsid w:val="00C7411F"/>
    <w:rsid w:val="00C76365"/>
    <w:rsid w:val="00C83F4B"/>
    <w:rsid w:val="00CA251D"/>
    <w:rsid w:val="00CB5CB2"/>
    <w:rsid w:val="00CB61C6"/>
    <w:rsid w:val="00CC2073"/>
    <w:rsid w:val="00CD0D5B"/>
    <w:rsid w:val="00CD7E45"/>
    <w:rsid w:val="00CE25B3"/>
    <w:rsid w:val="00CE2BC5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60EA"/>
    <w:rsid w:val="00DA77B6"/>
    <w:rsid w:val="00DB10A4"/>
    <w:rsid w:val="00DB399A"/>
    <w:rsid w:val="00DF4FF4"/>
    <w:rsid w:val="00DF5BB9"/>
    <w:rsid w:val="00DF6193"/>
    <w:rsid w:val="00E00EE4"/>
    <w:rsid w:val="00E02B8A"/>
    <w:rsid w:val="00E16183"/>
    <w:rsid w:val="00E165C2"/>
    <w:rsid w:val="00E30975"/>
    <w:rsid w:val="00E3218C"/>
    <w:rsid w:val="00E32526"/>
    <w:rsid w:val="00E3344F"/>
    <w:rsid w:val="00E36BC5"/>
    <w:rsid w:val="00E522FE"/>
    <w:rsid w:val="00E66DCA"/>
    <w:rsid w:val="00E704F5"/>
    <w:rsid w:val="00EA6F29"/>
    <w:rsid w:val="00EB096D"/>
    <w:rsid w:val="00EB1459"/>
    <w:rsid w:val="00EB2B09"/>
    <w:rsid w:val="00EB7B2A"/>
    <w:rsid w:val="00EC1E13"/>
    <w:rsid w:val="00ED209C"/>
    <w:rsid w:val="00EE4E5C"/>
    <w:rsid w:val="00F14997"/>
    <w:rsid w:val="00F14AAB"/>
    <w:rsid w:val="00F2616E"/>
    <w:rsid w:val="00F314F8"/>
    <w:rsid w:val="00F3156A"/>
    <w:rsid w:val="00F3271B"/>
    <w:rsid w:val="00F344D0"/>
    <w:rsid w:val="00F374F5"/>
    <w:rsid w:val="00F4212F"/>
    <w:rsid w:val="00F46D2A"/>
    <w:rsid w:val="00F519EC"/>
    <w:rsid w:val="00F60B2D"/>
    <w:rsid w:val="00F62D6C"/>
    <w:rsid w:val="00F6783D"/>
    <w:rsid w:val="00FA094F"/>
    <w:rsid w:val="00FA7AB3"/>
    <w:rsid w:val="00FB171E"/>
    <w:rsid w:val="00FC1FD5"/>
    <w:rsid w:val="00FD4253"/>
    <w:rsid w:val="00FD5039"/>
    <w:rsid w:val="00FD539E"/>
    <w:rsid w:val="00FE3843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Dąbrowska Alicja</cp:lastModifiedBy>
  <cp:revision>430</cp:revision>
  <dcterms:created xsi:type="dcterms:W3CDTF">2014-04-25T08:46:00Z</dcterms:created>
  <dcterms:modified xsi:type="dcterms:W3CDTF">2014-05-05T13:46:00Z</dcterms:modified>
</cp:coreProperties>
</file>